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Pr="009F07F8" w:rsidRDefault="009F07F8" w:rsidP="009F07F8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</w:pPr>
      <w:r w:rsidRPr="009F07F8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Карта оценки качества развивающей предметно-пространственной среды</w:t>
      </w:r>
    </w:p>
    <w:p w:rsidR="000D2D9B" w:rsidRDefault="009F07F8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«ЯСЛИ –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САД №335 Г.ДОНЕЦКА»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</w:t>
      </w:r>
      <w:r w:rsidR="009F07F8">
        <w:rPr>
          <w:rFonts w:ascii="Times New Roman" w:hAnsi="Times New Roman" w:cs="Times New Roman"/>
          <w:sz w:val="24"/>
          <w:szCs w:val="24"/>
        </w:rPr>
        <w:t xml:space="preserve">го педагога за проведение              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9F07F8">
        <w:rPr>
          <w:rFonts w:ascii="Times New Roman" w:hAnsi="Times New Roman" w:cs="Times New Roman"/>
          <w:sz w:val="24"/>
          <w:szCs w:val="24"/>
        </w:rPr>
        <w:t>воспитатель  Бохан Л.М.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 w:rsidR="009F07F8">
        <w:rPr>
          <w:rFonts w:ascii="Times New Roman" w:hAnsi="Times New Roman" w:cs="Times New Roman"/>
          <w:b/>
          <w:sz w:val="28"/>
          <w:szCs w:val="28"/>
        </w:rPr>
        <w:t>МБДОУ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соответствия ООП ДОУ требованиям ФГОС </w:t>
            </w:r>
            <w:proofErr w:type="gramStart"/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9F07F8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36DF-3042-47AB-8308-D1AF62B4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23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Microsoft</cp:lastModifiedBy>
  <cp:revision>4</cp:revision>
  <dcterms:created xsi:type="dcterms:W3CDTF">2018-01-30T06:12:00Z</dcterms:created>
  <dcterms:modified xsi:type="dcterms:W3CDTF">2023-10-07T12:34:00Z</dcterms:modified>
</cp:coreProperties>
</file>